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952C5" w14:textId="5DFC26F3" w:rsidR="00AF09A2" w:rsidRDefault="00AF09A2" w:rsidP="00AF09A2">
      <w:pPr>
        <w:outlineLvl w:val="0"/>
        <w:rPr>
          <w:rFonts w:ascii="Arial" w:hAnsi="Arial" w:cs="Arial"/>
          <w:b/>
          <w:sz w:val="28"/>
          <w:szCs w:val="28"/>
        </w:rPr>
      </w:pPr>
      <w:r>
        <w:rPr>
          <w:noProof/>
        </w:rPr>
        <w:drawing>
          <wp:anchor distT="0" distB="0" distL="114300" distR="114300" simplePos="0" relativeHeight="251659264" behindDoc="1" locked="0" layoutInCell="1" allowOverlap="1" wp14:anchorId="04F5DA14" wp14:editId="613A73A7">
            <wp:simplePos x="0" y="0"/>
            <wp:positionH relativeFrom="column">
              <wp:posOffset>2857500</wp:posOffset>
            </wp:positionH>
            <wp:positionV relativeFrom="paragraph">
              <wp:posOffset>0</wp:posOffset>
            </wp:positionV>
            <wp:extent cx="2219325" cy="859790"/>
            <wp:effectExtent l="0" t="0" r="9525" b="0"/>
            <wp:wrapTight wrapText="bothSides">
              <wp:wrapPolygon edited="0">
                <wp:start x="0" y="0"/>
                <wp:lineTo x="0" y="21058"/>
                <wp:lineTo x="21507" y="21058"/>
                <wp:lineTo x="215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58F">
        <w:rPr>
          <w:rFonts w:ascii="Arial" w:hAnsi="Arial" w:cs="Arial"/>
          <w:b/>
          <w:sz w:val="28"/>
          <w:szCs w:val="28"/>
        </w:rPr>
        <w:t xml:space="preserve">NOACC </w:t>
      </w:r>
      <w:r>
        <w:rPr>
          <w:rFonts w:ascii="Arial" w:hAnsi="Arial" w:cs="Arial"/>
          <w:b/>
          <w:sz w:val="28"/>
          <w:szCs w:val="28"/>
        </w:rPr>
        <w:t xml:space="preserve">Cost-Savings Benefits </w:t>
      </w:r>
    </w:p>
    <w:p w14:paraId="0C7FE093" w14:textId="77707DDF" w:rsidR="00AF09A2" w:rsidRDefault="00AF09A2" w:rsidP="00AF09A2">
      <w:pPr>
        <w:jc w:val="center"/>
        <w:outlineLvl w:val="0"/>
        <w:rPr>
          <w:rFonts w:ascii="Arial" w:hAnsi="Arial" w:cs="Arial"/>
          <w:b/>
          <w:sz w:val="28"/>
          <w:szCs w:val="28"/>
        </w:rPr>
      </w:pPr>
      <w:r>
        <w:rPr>
          <w:rFonts w:ascii="Arial" w:hAnsi="Arial" w:cs="Arial"/>
          <w:b/>
          <w:sz w:val="28"/>
          <w:szCs w:val="28"/>
        </w:rPr>
        <w:t>Available to All Members</w:t>
      </w:r>
    </w:p>
    <w:p w14:paraId="20D72598" w14:textId="77777777" w:rsidR="00AF09A2" w:rsidRDefault="00AF09A2" w:rsidP="00AF09A2">
      <w:pPr>
        <w:jc w:val="center"/>
        <w:outlineLvl w:val="0"/>
        <w:rPr>
          <w:rFonts w:ascii="Arial" w:hAnsi="Arial" w:cs="Arial"/>
          <w:b/>
          <w:sz w:val="28"/>
          <w:szCs w:val="28"/>
        </w:rPr>
      </w:pPr>
    </w:p>
    <w:p w14:paraId="78CA08EA" w14:textId="77777777" w:rsidR="00AF09A2" w:rsidRPr="00B9658F" w:rsidRDefault="00AF09A2" w:rsidP="00AF09A2">
      <w:pPr>
        <w:outlineLvl w:val="0"/>
        <w:rPr>
          <w:rFonts w:ascii="Arial" w:hAnsi="Arial" w:cs="Arial"/>
          <w:b/>
          <w:sz w:val="28"/>
          <w:szCs w:val="28"/>
        </w:rPr>
      </w:pPr>
    </w:p>
    <w:p w14:paraId="79C4EAE5" w14:textId="42279ADF" w:rsidR="00AF09A2" w:rsidRPr="00C05BCB" w:rsidRDefault="00AF09A2" w:rsidP="00AF09A2">
      <w:pPr>
        <w:jc w:val="both"/>
        <w:rPr>
          <w:rFonts w:ascii="Arial" w:hAnsi="Arial" w:cs="Arial"/>
          <w:sz w:val="20"/>
          <w:szCs w:val="20"/>
        </w:rPr>
      </w:pPr>
      <w:r>
        <w:rPr>
          <w:noProof/>
        </w:rPr>
        <w:drawing>
          <wp:inline distT="0" distB="0" distL="0" distR="0" wp14:anchorId="66BBDB4C" wp14:editId="048D7755">
            <wp:extent cx="1562100" cy="257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r>
        <w:tab/>
      </w:r>
      <w:r>
        <w:rPr>
          <w:b/>
          <w:bCs/>
        </w:rPr>
        <w:tab/>
      </w:r>
      <w:r>
        <w:rPr>
          <w:b/>
          <w:bCs/>
        </w:rPr>
        <w:tab/>
      </w:r>
      <w:r>
        <w:rPr>
          <w:b/>
          <w:bCs/>
        </w:rPr>
        <w:tab/>
      </w:r>
      <w:r>
        <w:rPr>
          <w:b/>
          <w:bCs/>
        </w:rPr>
        <w:tab/>
      </w:r>
      <w:r>
        <w:rPr>
          <w:b/>
          <w:bCs/>
        </w:rPr>
        <w:tab/>
      </w:r>
      <w:r>
        <w:rPr>
          <w:b/>
          <w:bCs/>
        </w:rPr>
        <w:tab/>
      </w:r>
      <w:r>
        <w:rPr>
          <w:b/>
          <w:bCs/>
        </w:rPr>
        <w:tab/>
      </w:r>
      <w:r>
        <w:rPr>
          <w:b/>
          <w:bCs/>
        </w:rPr>
        <w:tab/>
        <w:t xml:space="preserve">                 </w:t>
      </w:r>
      <w:hyperlink r:id="rId6" w:history="1">
        <w:r w:rsidRPr="00C077F3">
          <w:rPr>
            <w:rStyle w:val="Hyperlink"/>
            <w:b/>
            <w:bCs/>
          </w:rPr>
          <w:t>www.noacc.org</w:t>
        </w:r>
      </w:hyperlink>
      <w:r>
        <w:tab/>
      </w:r>
      <w:r>
        <w:tab/>
      </w:r>
      <w:r>
        <w:tab/>
      </w:r>
      <w:r>
        <w:tab/>
      </w:r>
      <w:r>
        <w:tab/>
      </w:r>
      <w:r>
        <w:tab/>
      </w:r>
      <w:r>
        <w:tab/>
        <w:t xml:space="preserve">             </w:t>
      </w:r>
      <w:r>
        <w:rPr>
          <w:rFonts w:ascii="Arial" w:hAnsi="Arial" w:cs="Arial"/>
          <w:sz w:val="20"/>
          <w:szCs w:val="20"/>
        </w:rPr>
        <w:t xml:space="preserve">             </w:t>
      </w:r>
    </w:p>
    <w:p w14:paraId="127456FE" w14:textId="77777777" w:rsidR="00AF09A2" w:rsidRDefault="00AF09A2" w:rsidP="00AF09A2">
      <w:pPr>
        <w:rPr>
          <w:rFonts w:ascii="Arial" w:hAnsi="Arial" w:cs="Arial"/>
          <w:b/>
          <w:bCs/>
          <w:sz w:val="20"/>
          <w:szCs w:val="20"/>
        </w:rPr>
      </w:pPr>
      <w:r>
        <w:rPr>
          <w:rFonts w:ascii="Arial" w:hAnsi="Arial" w:cs="Arial"/>
          <w:b/>
          <w:bCs/>
          <w:sz w:val="20"/>
          <w:szCs w:val="20"/>
        </w:rPr>
        <w:t xml:space="preserve">Group Health Insurance – Chamber Saver Program                                                                                                          </w:t>
      </w:r>
    </w:p>
    <w:p w14:paraId="143A153C" w14:textId="77777777" w:rsidR="00AF09A2" w:rsidRDefault="00AF09A2" w:rsidP="00AF09A2">
      <w:pPr>
        <w:jc w:val="both"/>
        <w:rPr>
          <w:rFonts w:ascii="Arial Narrow" w:hAnsi="Arial Narrow" w:cs="Arial"/>
          <w:sz w:val="22"/>
          <w:szCs w:val="22"/>
        </w:rPr>
      </w:pPr>
      <w:r w:rsidRPr="006859A5">
        <w:rPr>
          <w:rFonts w:ascii="Arial Narrow" w:hAnsi="Arial Narrow" w:cs="Arial"/>
          <w:sz w:val="22"/>
          <w:szCs w:val="22"/>
        </w:rPr>
        <w:t xml:space="preserve">Full range of health insurance plans with cost savings. Businesses also get access to a large network of quality providers through Anthem, an independent licensee of the Blue Cross and Blue Shield Association. Premium savings of up to 1.4% on groups from 2-50 employees.  Groups from 51-500 may be eligible for a 1% premium savings. Business must be a </w:t>
      </w:r>
      <w:r>
        <w:rPr>
          <w:rFonts w:ascii="Arial Narrow" w:hAnsi="Arial Narrow" w:cs="Arial"/>
          <w:sz w:val="22"/>
          <w:szCs w:val="22"/>
        </w:rPr>
        <w:t xml:space="preserve">member of a </w:t>
      </w:r>
      <w:r w:rsidRPr="006859A5">
        <w:rPr>
          <w:rFonts w:ascii="Arial Narrow" w:hAnsi="Arial Narrow" w:cs="Arial"/>
          <w:sz w:val="22"/>
          <w:szCs w:val="22"/>
        </w:rPr>
        <w:t>NOACC Chambe</w:t>
      </w:r>
      <w:r>
        <w:rPr>
          <w:rFonts w:ascii="Arial Narrow" w:hAnsi="Arial Narrow" w:cs="Arial"/>
          <w:sz w:val="22"/>
          <w:szCs w:val="22"/>
        </w:rPr>
        <w:t>r</w:t>
      </w:r>
      <w:r w:rsidRPr="006859A5">
        <w:rPr>
          <w:rFonts w:ascii="Arial Narrow" w:hAnsi="Arial Narrow" w:cs="Arial"/>
          <w:sz w:val="22"/>
          <w:szCs w:val="22"/>
        </w:rPr>
        <w:t xml:space="preserve">.  </w:t>
      </w:r>
      <w:r>
        <w:rPr>
          <w:rFonts w:ascii="Arial Narrow" w:hAnsi="Arial Narrow" w:cs="Arial"/>
          <w:sz w:val="22"/>
          <w:szCs w:val="22"/>
        </w:rPr>
        <w:t>For a quote, contact your local broker or visit noacc.org.</w:t>
      </w:r>
    </w:p>
    <w:p w14:paraId="134D52CD" w14:textId="77777777" w:rsidR="00AF09A2" w:rsidRDefault="00AF09A2" w:rsidP="00AF09A2">
      <w:pPr>
        <w:jc w:val="both"/>
        <w:rPr>
          <w:rFonts w:ascii="Arial Narrow" w:hAnsi="Arial Narrow" w:cs="Arial"/>
          <w:sz w:val="22"/>
          <w:szCs w:val="22"/>
        </w:rPr>
      </w:pPr>
    </w:p>
    <w:p w14:paraId="576EB911" w14:textId="77777777" w:rsidR="00AF09A2" w:rsidRDefault="00AF09A2" w:rsidP="00AF09A2">
      <w:pPr>
        <w:jc w:val="both"/>
        <w:rPr>
          <w:rFonts w:ascii="Arial" w:hAnsi="Arial" w:cs="Arial"/>
          <w:sz w:val="20"/>
          <w:szCs w:val="20"/>
        </w:rPr>
      </w:pPr>
    </w:p>
    <w:p w14:paraId="4DBEB863" w14:textId="0A1CFDC5" w:rsidR="00AF09A2" w:rsidRDefault="00AF09A2" w:rsidP="00AF09A2">
      <w:r>
        <w:rPr>
          <w:noProof/>
        </w:rPr>
        <w:drawing>
          <wp:inline distT="0" distB="0" distL="0" distR="0" wp14:anchorId="4FD8EEFD" wp14:editId="710C90D4">
            <wp:extent cx="317182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825" cy="561975"/>
                    </a:xfrm>
                    <a:prstGeom prst="rect">
                      <a:avLst/>
                    </a:prstGeom>
                    <a:noFill/>
                    <a:ln>
                      <a:noFill/>
                    </a:ln>
                  </pic:spPr>
                </pic:pic>
              </a:graphicData>
            </a:graphic>
          </wp:inline>
        </w:drawing>
      </w:r>
      <w:r>
        <w:tab/>
      </w:r>
      <w:r>
        <w:tab/>
      </w:r>
      <w:r>
        <w:tab/>
      </w:r>
      <w:r>
        <w:tab/>
      </w:r>
      <w:r>
        <w:tab/>
      </w:r>
      <w:r>
        <w:tab/>
      </w:r>
      <w:r>
        <w:rPr>
          <w:b/>
          <w:bCs/>
        </w:rPr>
        <w:t xml:space="preserve">                </w:t>
      </w:r>
      <w:hyperlink r:id="rId8" w:history="1">
        <w:r w:rsidRPr="00C077F3">
          <w:rPr>
            <w:rStyle w:val="Hyperlink"/>
            <w:b/>
            <w:bCs/>
          </w:rPr>
          <w:t>www.noacc.org</w:t>
        </w:r>
      </w:hyperlink>
    </w:p>
    <w:p w14:paraId="28B4876E" w14:textId="77777777" w:rsidR="00AF09A2" w:rsidRPr="00FC7CB1" w:rsidRDefault="00AF09A2" w:rsidP="00AF09A2">
      <w:pPr>
        <w:jc w:val="both"/>
      </w:pPr>
      <w:r>
        <w:rPr>
          <w:rFonts w:ascii="Arial" w:hAnsi="Arial" w:cs="Arial"/>
          <w:b/>
          <w:bCs/>
          <w:sz w:val="20"/>
          <w:szCs w:val="20"/>
        </w:rPr>
        <w:t>Group Health Insurance – SOCA Benefit Plan (MEWA)                                                     </w:t>
      </w:r>
    </w:p>
    <w:p w14:paraId="0DF6DB09" w14:textId="0DF4E84F" w:rsidR="00AF09A2" w:rsidRPr="00276AC1" w:rsidRDefault="00AF09A2" w:rsidP="00AF09A2">
      <w:pPr>
        <w:spacing w:after="160" w:line="259" w:lineRule="auto"/>
        <w:rPr>
          <w:rFonts w:ascii="Arial" w:hAnsi="Arial" w:cs="Arial"/>
          <w:sz w:val="20"/>
          <w:szCs w:val="20"/>
        </w:rPr>
      </w:pPr>
      <w:r>
        <w:rPr>
          <w:rFonts w:ascii="Arial Narrow" w:eastAsia="Calibri" w:hAnsi="Arial Narrow"/>
          <w:sz w:val="22"/>
          <w:szCs w:val="22"/>
        </w:rPr>
        <w:t>The</w:t>
      </w:r>
      <w:r w:rsidRPr="00473EFA">
        <w:rPr>
          <w:rFonts w:ascii="Arial Narrow" w:eastAsia="Calibri" w:hAnsi="Arial Narrow"/>
          <w:sz w:val="22"/>
          <w:szCs w:val="22"/>
        </w:rPr>
        <w:t xml:space="preserve"> SOCA Benefit Plan MEWA</w:t>
      </w:r>
      <w:r>
        <w:rPr>
          <w:rFonts w:ascii="Arial Narrow" w:eastAsia="Calibri" w:hAnsi="Arial Narrow"/>
          <w:sz w:val="22"/>
          <w:szCs w:val="22"/>
        </w:rPr>
        <w:t>, administered by Anthem,</w:t>
      </w:r>
      <w:r w:rsidRPr="00473EFA">
        <w:rPr>
          <w:rFonts w:ascii="Arial Narrow" w:eastAsia="Calibri" w:hAnsi="Arial Narrow"/>
          <w:sz w:val="22"/>
          <w:szCs w:val="22"/>
        </w:rPr>
        <w:t xml:space="preserve"> </w:t>
      </w:r>
      <w:r>
        <w:rPr>
          <w:rFonts w:ascii="Arial Narrow" w:eastAsia="Calibri" w:hAnsi="Arial Narrow"/>
          <w:sz w:val="22"/>
          <w:szCs w:val="22"/>
        </w:rPr>
        <w:t>is</w:t>
      </w:r>
      <w:r w:rsidRPr="00473EFA">
        <w:rPr>
          <w:rFonts w:ascii="Arial Narrow" w:eastAsia="Calibri" w:hAnsi="Arial Narrow"/>
          <w:sz w:val="22"/>
          <w:szCs w:val="22"/>
        </w:rPr>
        <w:t xml:space="preserve"> a smart solution for groups with 50 or fewer employees</w:t>
      </w:r>
      <w:r>
        <w:rPr>
          <w:rFonts w:ascii="Arial Narrow" w:eastAsia="Calibri" w:hAnsi="Arial Narrow"/>
          <w:sz w:val="22"/>
          <w:szCs w:val="22"/>
        </w:rPr>
        <w:t xml:space="preserve"> and sole proprietors</w:t>
      </w:r>
      <w:r w:rsidRPr="00473EFA">
        <w:rPr>
          <w:rFonts w:ascii="Arial Narrow" w:eastAsia="Calibri" w:hAnsi="Arial Narrow"/>
          <w:sz w:val="22"/>
          <w:szCs w:val="22"/>
        </w:rPr>
        <w:t xml:space="preserve">. </w:t>
      </w:r>
      <w:r>
        <w:rPr>
          <w:rFonts w:ascii="Arial Narrow" w:eastAsia="Calibri" w:hAnsi="Arial Narrow"/>
          <w:sz w:val="22"/>
          <w:szCs w:val="22"/>
        </w:rPr>
        <w:t xml:space="preserve">It allows smaller employers to </w:t>
      </w:r>
      <w:proofErr w:type="gramStart"/>
      <w:r>
        <w:rPr>
          <w:rFonts w:ascii="Arial Narrow" w:eastAsia="Calibri" w:hAnsi="Arial Narrow"/>
          <w:sz w:val="22"/>
          <w:szCs w:val="22"/>
        </w:rPr>
        <w:t>join together</w:t>
      </w:r>
      <w:proofErr w:type="gramEnd"/>
      <w:r>
        <w:rPr>
          <w:rFonts w:ascii="Arial Narrow" w:eastAsia="Calibri" w:hAnsi="Arial Narrow"/>
          <w:sz w:val="22"/>
          <w:szCs w:val="22"/>
        </w:rPr>
        <w:t xml:space="preserve"> to share in the overall claims risk, backed by Anthem stop loss coverage.  </w:t>
      </w:r>
      <w:r w:rsidRPr="00473EFA">
        <w:rPr>
          <w:rFonts w:ascii="Arial Narrow" w:hAnsi="Arial Narrow" w:cs="Arial"/>
          <w:sz w:val="22"/>
          <w:szCs w:val="22"/>
        </w:rPr>
        <w:t xml:space="preserve">Business must be a member of a NOACC Chamber.  For a quote, contact your local broker or visit noacc.org. </w:t>
      </w:r>
    </w:p>
    <w:p w14:paraId="523DA82F" w14:textId="68569635" w:rsidR="00AF09A2" w:rsidRPr="00253AFB" w:rsidRDefault="00AF09A2" w:rsidP="00AF09A2">
      <w:pPr>
        <w:jc w:val="both"/>
      </w:pPr>
      <w:r>
        <w:rPr>
          <w:rFonts w:ascii="Arial" w:hAnsi="Arial" w:cs="Arial"/>
          <w:noProof/>
          <w:sz w:val="20"/>
          <w:szCs w:val="20"/>
        </w:rPr>
        <w:drawing>
          <wp:inline distT="0" distB="0" distL="0" distR="0" wp14:anchorId="50554DD4" wp14:editId="66B5D26D">
            <wp:extent cx="1733550" cy="485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485775"/>
                    </a:xfrm>
                    <a:prstGeom prst="rect">
                      <a:avLst/>
                    </a:prstGeom>
                    <a:noFill/>
                    <a:ln>
                      <a:noFill/>
                    </a:ln>
                  </pic:spPr>
                </pic:pic>
              </a:graphicData>
            </a:graphic>
          </wp:inline>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w:history="1">
        <w:r w:rsidRPr="00253AFB">
          <w:rPr>
            <w:rStyle w:val="Hyperlink"/>
            <w:u w:val="none"/>
          </w:rPr>
          <w:t xml:space="preserve">                                            </w:t>
        </w:r>
        <w:r w:rsidRPr="006A6526">
          <w:rPr>
            <w:rStyle w:val="Hyperlink"/>
            <w:b/>
            <w:bCs/>
          </w:rPr>
          <w:t>www.ceateam.com/chamber</w:t>
        </w:r>
      </w:hyperlink>
    </w:p>
    <w:p w14:paraId="2269EA98" w14:textId="77777777" w:rsidR="00AF09A2" w:rsidRPr="00253AFB" w:rsidRDefault="00AF09A2" w:rsidP="00AF09A2">
      <w:pPr>
        <w:jc w:val="both"/>
        <w:rPr>
          <w:rFonts w:ascii="Arial" w:hAnsi="Arial" w:cs="Arial"/>
          <w:sz w:val="20"/>
          <w:szCs w:val="20"/>
        </w:rPr>
      </w:pPr>
      <w:r w:rsidRPr="00253AFB">
        <w:rPr>
          <w:rFonts w:ascii="Arial" w:hAnsi="Arial" w:cs="Arial"/>
          <w:b/>
          <w:sz w:val="20"/>
          <w:szCs w:val="20"/>
        </w:rPr>
        <w:t>Chamber Energy Program</w:t>
      </w:r>
      <w:r w:rsidRPr="00253AFB">
        <w:rPr>
          <w:rFonts w:ascii="Arial" w:hAnsi="Arial" w:cs="Arial"/>
          <w:b/>
          <w:sz w:val="20"/>
          <w:szCs w:val="20"/>
        </w:rPr>
        <w:tab/>
      </w:r>
      <w:r w:rsidRPr="00253AFB">
        <w:rPr>
          <w:rFonts w:ascii="Arial" w:hAnsi="Arial" w:cs="Arial"/>
          <w:b/>
          <w:sz w:val="20"/>
          <w:szCs w:val="20"/>
        </w:rPr>
        <w:tab/>
      </w:r>
      <w:r w:rsidRPr="00253AFB">
        <w:rPr>
          <w:rFonts w:ascii="Arial" w:hAnsi="Arial" w:cs="Arial"/>
          <w:b/>
          <w:sz w:val="20"/>
          <w:szCs w:val="20"/>
        </w:rPr>
        <w:tab/>
      </w:r>
      <w:r w:rsidRPr="00253AFB">
        <w:rPr>
          <w:rFonts w:ascii="Arial" w:hAnsi="Arial" w:cs="Arial"/>
          <w:b/>
          <w:sz w:val="20"/>
          <w:szCs w:val="20"/>
        </w:rPr>
        <w:tab/>
      </w:r>
      <w:r w:rsidRPr="00253AFB">
        <w:rPr>
          <w:rFonts w:ascii="Arial" w:hAnsi="Arial" w:cs="Arial"/>
          <w:b/>
          <w:sz w:val="20"/>
          <w:szCs w:val="20"/>
        </w:rPr>
        <w:tab/>
      </w:r>
      <w:r w:rsidRPr="00253AFB">
        <w:rPr>
          <w:rFonts w:ascii="Arial" w:hAnsi="Arial" w:cs="Arial"/>
          <w:b/>
          <w:sz w:val="20"/>
          <w:szCs w:val="20"/>
        </w:rPr>
        <w:tab/>
      </w:r>
      <w:r w:rsidRPr="00253AFB">
        <w:rPr>
          <w:rFonts w:ascii="Arial" w:hAnsi="Arial" w:cs="Arial"/>
          <w:b/>
          <w:sz w:val="20"/>
          <w:szCs w:val="20"/>
        </w:rPr>
        <w:tab/>
      </w:r>
    </w:p>
    <w:p w14:paraId="08F77FFE" w14:textId="2D6F3077" w:rsidR="00AF09A2" w:rsidRDefault="00AF09A2" w:rsidP="00AF09A2">
      <w:pPr>
        <w:spacing w:after="160" w:line="259" w:lineRule="auto"/>
        <w:rPr>
          <w:rFonts w:ascii="Arial" w:hAnsi="Arial" w:cs="Arial"/>
          <w:sz w:val="20"/>
          <w:szCs w:val="20"/>
        </w:rPr>
      </w:pPr>
      <w:r w:rsidRPr="006859A5">
        <w:rPr>
          <w:rFonts w:ascii="Arial Narrow" w:eastAsia="Calibri" w:hAnsi="Arial Narrow" w:cs="Arial"/>
          <w:sz w:val="22"/>
        </w:rPr>
        <w:t>Community Energy Advisors (CEA) is a Public Utilities Commission of Ohio (PUCO) certified energy management firm that educates and empowers organizations to maximize the economics of their energy assets. By staying one step ahead of changes in the energy industry and utilizing analytics, advanced tariff modeling and reporting, CEA delivers a multitude of energy management solutions that positively impact customers’ utility bill costs.</w:t>
      </w:r>
      <w:r>
        <w:rPr>
          <w:rFonts w:ascii="Arial Narrow" w:eastAsia="Calibri" w:hAnsi="Arial Narrow" w:cs="Arial"/>
          <w:sz w:val="22"/>
        </w:rPr>
        <w:t xml:space="preserve"> </w:t>
      </w:r>
      <w:r w:rsidRPr="006859A5">
        <w:rPr>
          <w:rFonts w:ascii="Arial Narrow" w:hAnsi="Arial Narrow" w:cs="Arial"/>
          <w:sz w:val="22"/>
          <w:szCs w:val="22"/>
        </w:rPr>
        <w:t>Business must be a member of a NOACC Chamber.</w:t>
      </w:r>
      <w:r>
        <w:rPr>
          <w:rFonts w:ascii="Arial Narrow" w:eastAsia="Calibri" w:hAnsi="Arial Narrow" w:cs="Arial"/>
          <w:sz w:val="22"/>
        </w:rPr>
        <w:t xml:space="preserve"> For a free quote, visit ceateam.com/chamber. </w:t>
      </w:r>
    </w:p>
    <w:p w14:paraId="0BE6CB4D" w14:textId="77777777" w:rsidR="00AF09A2" w:rsidRDefault="00AF09A2" w:rsidP="00AF09A2">
      <w:pPr>
        <w:spacing w:after="160" w:line="259" w:lineRule="auto"/>
        <w:rPr>
          <w:rFonts w:ascii="Arial" w:hAnsi="Arial" w:cs="Arial"/>
          <w:sz w:val="20"/>
          <w:szCs w:val="20"/>
        </w:rPr>
      </w:pPr>
    </w:p>
    <w:p w14:paraId="3012078A" w14:textId="42264055" w:rsidR="00AF09A2" w:rsidRPr="00253AFB" w:rsidRDefault="00AF09A2" w:rsidP="00AF09A2">
      <w:pPr>
        <w:jc w:val="both"/>
        <w:rPr>
          <w:rFonts w:ascii="Arial" w:hAnsi="Arial" w:cs="Arial"/>
          <w:bCs/>
          <w:sz w:val="20"/>
          <w:szCs w:val="20"/>
        </w:rPr>
      </w:pPr>
      <w:r>
        <w:rPr>
          <w:rFonts w:ascii="Arial" w:hAnsi="Arial" w:cs="Arial"/>
          <w:noProof/>
          <w:sz w:val="20"/>
          <w:szCs w:val="20"/>
        </w:rPr>
        <w:drawing>
          <wp:inline distT="0" distB="0" distL="0" distR="0" wp14:anchorId="7397A9C2" wp14:editId="1EC3371E">
            <wp:extent cx="100965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485775"/>
                    </a:xfrm>
                    <a:prstGeom prst="rect">
                      <a:avLst/>
                    </a:prstGeom>
                    <a:noFill/>
                    <a:ln>
                      <a:noFill/>
                    </a:ln>
                  </pic:spPr>
                </pic:pic>
              </a:graphicData>
            </a:graphic>
          </wp:inline>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53AFB">
        <w:rPr>
          <w:bCs/>
        </w:rPr>
        <w:t xml:space="preserve">                                         </w:t>
      </w:r>
      <w:hyperlink r:id="rId11" w:history="1">
        <w:r w:rsidRPr="006A6526">
          <w:rPr>
            <w:rStyle w:val="Hyperlink"/>
            <w:b/>
          </w:rPr>
          <w:t>www.hmssolutions.com</w:t>
        </w:r>
      </w:hyperlink>
      <w:r w:rsidRPr="006A6526">
        <w:rPr>
          <w:rFonts w:ascii="Arial" w:hAnsi="Arial" w:cs="Arial"/>
          <w:b/>
          <w:sz w:val="20"/>
          <w:szCs w:val="20"/>
          <w:u w:val="single"/>
        </w:rPr>
        <w:t xml:space="preserve"> </w:t>
      </w:r>
    </w:p>
    <w:p w14:paraId="3EB8064F" w14:textId="77777777" w:rsidR="00AF09A2" w:rsidRPr="00FC7CB1" w:rsidRDefault="00AF09A2" w:rsidP="00AF09A2">
      <w:pPr>
        <w:jc w:val="both"/>
        <w:outlineLvl w:val="0"/>
        <w:rPr>
          <w:rFonts w:ascii="Arial" w:hAnsi="Arial" w:cs="Arial"/>
          <w:b/>
          <w:sz w:val="20"/>
          <w:szCs w:val="20"/>
        </w:rPr>
      </w:pPr>
      <w:r w:rsidRPr="002C48BE">
        <w:rPr>
          <w:rFonts w:ascii="Arial" w:hAnsi="Arial" w:cs="Arial"/>
          <w:b/>
          <w:sz w:val="20"/>
          <w:szCs w:val="20"/>
        </w:rPr>
        <w:t xml:space="preserve">Managed Care Organization (MCO) </w:t>
      </w:r>
      <w:r w:rsidRPr="002C48BE">
        <w:rPr>
          <w:rFonts w:ascii="Arial" w:hAnsi="Arial" w:cs="Arial"/>
          <w:b/>
          <w:sz w:val="20"/>
          <w:szCs w:val="20"/>
        </w:rPr>
        <w:tab/>
      </w:r>
      <w:r w:rsidRPr="002C48BE">
        <w:rPr>
          <w:rFonts w:ascii="Arial" w:hAnsi="Arial" w:cs="Arial"/>
          <w:b/>
          <w:sz w:val="20"/>
          <w:szCs w:val="20"/>
        </w:rPr>
        <w:tab/>
      </w:r>
      <w:r w:rsidRPr="002C48BE">
        <w:rPr>
          <w:rFonts w:ascii="Arial" w:hAnsi="Arial" w:cs="Arial"/>
          <w:b/>
          <w:sz w:val="20"/>
          <w:szCs w:val="20"/>
        </w:rPr>
        <w:tab/>
      </w:r>
      <w:r w:rsidRPr="002C48BE">
        <w:rPr>
          <w:rFonts w:ascii="Arial" w:hAnsi="Arial" w:cs="Arial"/>
          <w:b/>
          <w:sz w:val="20"/>
          <w:szCs w:val="20"/>
        </w:rPr>
        <w:tab/>
      </w:r>
      <w:r w:rsidRPr="002C48BE">
        <w:rPr>
          <w:rFonts w:ascii="Arial" w:hAnsi="Arial" w:cs="Arial"/>
          <w:b/>
          <w:sz w:val="20"/>
          <w:szCs w:val="20"/>
        </w:rPr>
        <w:tab/>
      </w:r>
    </w:p>
    <w:p w14:paraId="71350240" w14:textId="63CE2BBB" w:rsidR="00EF4431" w:rsidRDefault="00AF09A2" w:rsidP="00AF09A2">
      <w:pPr>
        <w:pStyle w:val="NoSpacing"/>
      </w:pPr>
      <w:r w:rsidRPr="006859A5">
        <w:rPr>
          <w:rFonts w:ascii="Arial Narrow" w:hAnsi="Arial Narrow" w:cs="Arial"/>
          <w:szCs w:val="24"/>
        </w:rPr>
        <w:t>Workers’ Compensation is a major cost of doing business.  Lost-time claims can increase premiums if not handled properly.  It is the MCO’s job to make sure injured workers receive care and return to work safely and promptly.  NOACC Chambers and their business members will be able to choose HMS (Health Management Solutions) and be assured that they can rely on their MCO to protect their workers and their bottom line.</w:t>
      </w:r>
      <w:r>
        <w:rPr>
          <w:rFonts w:ascii="Arial Narrow" w:hAnsi="Arial Narrow" w:cs="Arial"/>
          <w:szCs w:val="24"/>
        </w:rPr>
        <w:t xml:space="preserve"> </w:t>
      </w:r>
      <w:r w:rsidRPr="006859A5">
        <w:rPr>
          <w:rFonts w:ascii="Arial Narrow" w:hAnsi="Arial Narrow" w:cs="Arial"/>
        </w:rPr>
        <w:t>Business must be a member of a NOACC Chamber.</w:t>
      </w:r>
      <w:r>
        <w:rPr>
          <w:rFonts w:ascii="Arial Narrow" w:hAnsi="Arial Narrow" w:cs="Arial"/>
        </w:rPr>
        <w:t xml:space="preserve">  </w:t>
      </w:r>
    </w:p>
    <w:sectPr w:rsidR="00EF4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A2"/>
    <w:rsid w:val="005D3A7B"/>
    <w:rsid w:val="00AF09A2"/>
    <w:rsid w:val="00EF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62B7"/>
  <w15:chartTrackingRefBased/>
  <w15:docId w15:val="{CAD210C1-3AE5-4CE6-853E-F34CD607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9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09A2"/>
    <w:rPr>
      <w:color w:val="0000FF"/>
      <w:u w:val="single"/>
    </w:rPr>
  </w:style>
  <w:style w:type="paragraph" w:styleId="NoSpacing">
    <w:name w:val="No Spacing"/>
    <w:uiPriority w:val="1"/>
    <w:qFormat/>
    <w:rsid w:val="00AF09A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acc.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acc.org" TargetMode="External"/><Relationship Id="rId11" Type="http://schemas.openxmlformats.org/officeDocument/2006/relationships/hyperlink" Target="http://www.hmssolutions.com" TargetMode="Externa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Ryann Kuchenbecker</dc:creator>
  <cp:keywords/>
  <dc:description/>
  <cp:lastModifiedBy>Ryann Kuchenbecker</cp:lastModifiedBy>
  <cp:revision>1</cp:revision>
  <dcterms:created xsi:type="dcterms:W3CDTF">2021-03-22T17:36:00Z</dcterms:created>
  <dcterms:modified xsi:type="dcterms:W3CDTF">2021-03-22T17:38:00Z</dcterms:modified>
</cp:coreProperties>
</file>